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43" w:rsidRDefault="00C91C99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>Внесены изменения в законодательство, регулирующее страховую защиту вкладов</w:t>
      </w:r>
    </w:p>
    <w:p w:rsidR="00C91C99" w:rsidRDefault="00C91C99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C99" w:rsidRPr="00C91C99" w:rsidRDefault="00C91C99" w:rsidP="00C91C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25 мая 2020 г. №163-ФЗ «О внесении изменений в отдельные законодательные акты Российской Федерации» увеличена максимальная страховка по вкладам, на которых размещены деньги от наследства и продажи недвижимости.</w:t>
      </w:r>
    </w:p>
    <w:p w:rsidR="00C91C99" w:rsidRPr="00C91C99" w:rsidRDefault="00C91C99" w:rsidP="00C91C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граждане смогут получить страховые выплаты по вкладам, где сформированы средства от продажи жилья или земельных участков, получения наследства, грантов в форме субсидий, в повышенном размере, но не более 10 </w:t>
      </w:r>
      <w:proofErr w:type="gramStart"/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Это также касается средств, полученных по решению суда, в счет возмещения ущерба, причиненного жизни, здоровью или личному имуществу, соц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иальных </w:t>
      </w:r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>выплат, пособий и компенсаций.</w:t>
      </w:r>
    </w:p>
    <w:p w:rsidR="00C91C99" w:rsidRPr="00C91C99" w:rsidRDefault="00C91C99" w:rsidP="00C91C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Определено, что страховая защита также распространена на денежные средства малых предприятий, ТСН, потреб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ительских </w:t>
      </w:r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>кооперативов, казачьих обществ, общин коренных малочисленных народов России, религиозных организаций, благотворительных фондов, НКО - исполнителей общественно полезных услуг (кроме НКО - иностранных агентов). Сумма возмещения по таким счетам не будет превышать 1 400 000 руб.</w:t>
      </w:r>
    </w:p>
    <w:p w:rsidR="00C91C99" w:rsidRPr="00C91C99" w:rsidRDefault="00C91C99" w:rsidP="00C91C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определены особенности страхования денежных средств, размещенных на совместном счете, права на которые принадлежат вкладчикам в долях, а также на </w:t>
      </w:r>
      <w:proofErr w:type="spellStart"/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>спецсчете</w:t>
      </w:r>
      <w:proofErr w:type="spellEnd"/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формирования и использования средств фонда капремонта общего имущества в многоквартирном доме</w:t>
      </w:r>
      <w:proofErr w:type="gramStart"/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спользования средств фонда капремонта общего имущества в многоквартирном доме.</w:t>
      </w:r>
    </w:p>
    <w:p w:rsidR="00C91C99" w:rsidRPr="00C91C99" w:rsidRDefault="00C91C99" w:rsidP="00C91C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>Помимо этого уточнен порядок начисления и уплаты страховых взносов.</w:t>
      </w:r>
    </w:p>
    <w:p w:rsidR="004D0745" w:rsidRPr="004D0745" w:rsidRDefault="00C91C99" w:rsidP="00C91C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C99">
        <w:rPr>
          <w:rFonts w:ascii="Times New Roman" w:hAnsi="Times New Roman" w:cs="Times New Roman"/>
          <w:color w:val="000000" w:themeColor="text1"/>
          <w:sz w:val="28"/>
          <w:szCs w:val="28"/>
        </w:rPr>
        <w:t>Данные положения закона вступают в силу с 1 октября 2020 года.</w:t>
      </w:r>
    </w:p>
    <w:p w:rsidR="004D0745" w:rsidRDefault="004D0745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745" w:rsidRDefault="00C91C99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3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омощник 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>Невьянск</w:t>
      </w:r>
      <w:r w:rsidR="0003744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03744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</w:t>
      </w:r>
      <w:r w:rsidR="000374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Саркисян А.С.</w:t>
      </w:r>
    </w:p>
    <w:p w:rsidR="000B0930" w:rsidRPr="003764C5" w:rsidRDefault="000B0930" w:rsidP="003764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18.06.2020</w:t>
      </w:r>
      <w:bookmarkStart w:id="0" w:name="_GoBack"/>
      <w:bookmarkEnd w:id="0"/>
    </w:p>
    <w:sectPr w:rsidR="000B0930" w:rsidRPr="0037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C5"/>
    <w:rsid w:val="00037443"/>
    <w:rsid w:val="000853D2"/>
    <w:rsid w:val="000B0930"/>
    <w:rsid w:val="003764C5"/>
    <w:rsid w:val="004D0745"/>
    <w:rsid w:val="00C9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2020-06-22T07:06:00Z</dcterms:created>
  <dcterms:modified xsi:type="dcterms:W3CDTF">2020-06-22T07:59:00Z</dcterms:modified>
</cp:coreProperties>
</file>