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26D8B" w:rsidRPr="0092089E" w:rsidTr="00892B99">
        <w:trPr>
          <w:trHeight w:val="96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26D8B" w:rsidRPr="0092089E" w:rsidRDefault="00426D8B" w:rsidP="00892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20"/>
                <w:lang w:eastAsia="ru-RU"/>
              </w:rPr>
            </w:pPr>
            <w:bookmarkStart w:id="0" w:name="Par1"/>
            <w:bookmarkEnd w:id="0"/>
            <w:r w:rsidRPr="0092089E">
              <w:rPr>
                <w:rFonts w:ascii="Times New Roman" w:eastAsia="Times New Roman" w:hAnsi="Times New Roman"/>
                <w:b/>
                <w:sz w:val="40"/>
                <w:szCs w:val="20"/>
                <w:lang w:eastAsia="ru-RU"/>
              </w:rPr>
              <w:br w:type="page"/>
            </w:r>
            <w:r w:rsidRPr="009208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>
                  <wp:extent cx="742950" cy="6191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D8B" w:rsidRPr="0092089E" w:rsidTr="00892B99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6D8B" w:rsidRPr="0092089E" w:rsidRDefault="00426D8B" w:rsidP="00892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:rsidR="00E96BE9" w:rsidRDefault="00E96BE9" w:rsidP="00E96BE9">
            <w:pPr>
              <w:pStyle w:val="a3"/>
            </w:pPr>
            <w:r>
              <w:t>РЕШЕНИЕ</w:t>
            </w:r>
          </w:p>
          <w:p w:rsidR="00E96BE9" w:rsidRPr="00E96BE9" w:rsidRDefault="00E96BE9" w:rsidP="00E96BE9">
            <w:pPr>
              <w:pStyle w:val="a3"/>
              <w:rPr>
                <w:sz w:val="10"/>
              </w:rPr>
            </w:pPr>
          </w:p>
          <w:p w:rsidR="00426D8B" w:rsidRDefault="008B1480" w:rsidP="008B148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ДУМА </w:t>
            </w:r>
            <w:r w:rsidR="00426D8B">
              <w:rPr>
                <w:sz w:val="28"/>
                <w:szCs w:val="28"/>
              </w:rPr>
              <w:t xml:space="preserve"> </w:t>
            </w:r>
            <w:r w:rsidR="00426D8B" w:rsidRPr="0004343F">
              <w:rPr>
                <w:sz w:val="28"/>
                <w:szCs w:val="28"/>
              </w:rPr>
              <w:t>ГОРОДСКОГО ОКРУГА ВЕРХ-НЕЙВИНСКИЙ</w:t>
            </w:r>
          </w:p>
          <w:p w:rsidR="00426D8B" w:rsidRPr="00D4145A" w:rsidRDefault="00426D8B" w:rsidP="00E96BE9">
            <w:pPr>
              <w:pStyle w:val="a3"/>
              <w:rPr>
                <w:b w:val="0"/>
                <w:sz w:val="16"/>
                <w:szCs w:val="16"/>
              </w:rPr>
            </w:pPr>
          </w:p>
        </w:tc>
      </w:tr>
    </w:tbl>
    <w:p w:rsidR="00426D8B" w:rsidRPr="007E09CA" w:rsidRDefault="00426D8B" w:rsidP="0042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B6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A46E8">
        <w:rPr>
          <w:rFonts w:ascii="Times New Roman" w:eastAsia="Times New Roman" w:hAnsi="Times New Roman"/>
          <w:sz w:val="24"/>
          <w:szCs w:val="24"/>
          <w:lang w:eastAsia="ru-RU"/>
        </w:rPr>
        <w:t xml:space="preserve">19.11.2014 г.  </w:t>
      </w:r>
      <w:r w:rsidRPr="00033B6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A390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033B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26D8B" w:rsidRDefault="00426D8B" w:rsidP="0042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89E">
        <w:rPr>
          <w:rFonts w:ascii="Times New Roman" w:eastAsia="Times New Roman" w:hAnsi="Times New Roman"/>
          <w:sz w:val="24"/>
          <w:szCs w:val="24"/>
          <w:lang w:eastAsia="ru-RU"/>
        </w:rPr>
        <w:t>р.п. Верх-Нейвинский</w:t>
      </w:r>
    </w:p>
    <w:p w:rsidR="00E96BE9" w:rsidRDefault="00B54E0B" w:rsidP="00E96B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6BE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E96BE9" w:rsidRDefault="00B54E0B" w:rsidP="00E96B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6BE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 установлении </w:t>
      </w:r>
      <w:r w:rsidR="00FE5C8A" w:rsidRPr="00E96BE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 введение в действие на территории </w:t>
      </w:r>
    </w:p>
    <w:p w:rsidR="00BA7F8E" w:rsidRPr="00E96BE9" w:rsidRDefault="00FE5C8A" w:rsidP="00E96B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6BE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городского округа Верх-Нейвинский </w:t>
      </w:r>
      <w:r w:rsidR="00B54E0B" w:rsidRPr="00E96BE9">
        <w:rPr>
          <w:rFonts w:ascii="Times New Roman" w:hAnsi="Times New Roman" w:cs="Times New Roman"/>
          <w:b/>
          <w:i/>
          <w:iCs/>
          <w:sz w:val="28"/>
          <w:szCs w:val="28"/>
        </w:rPr>
        <w:t>налога на имущество физических лиц</w:t>
      </w:r>
      <w:r w:rsidRPr="00E96BE9">
        <w:rPr>
          <w:rFonts w:ascii="Times New Roman" w:hAnsi="Times New Roman" w:cs="Times New Roman"/>
          <w:b/>
          <w:i/>
          <w:iCs/>
          <w:sz w:val="28"/>
          <w:szCs w:val="28"/>
        </w:rPr>
        <w:t>, обязательного к уплате в 2015 году</w:t>
      </w:r>
      <w:r w:rsidR="00B54E0B" w:rsidRPr="00E96BE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B54E0B" w:rsidRDefault="00B54E0B" w:rsidP="00E96BE9">
      <w:pPr>
        <w:shd w:val="clear" w:color="auto" w:fill="FFFFFF"/>
        <w:spacing w:after="0" w:line="20" w:lineRule="atLeast"/>
        <w:ind w:right="139" w:firstLine="67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A7F8E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>В соответстви</w:t>
      </w:r>
      <w:r w:rsidR="00D66A6E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>и с Федеральным законом</w:t>
      </w:r>
      <w:r w:rsidRPr="00BA7F8E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 от 06.10.2003г. № 131-ФЗ "Об общих принципах организации местного самоуправления в </w:t>
      </w:r>
      <w:r w:rsidR="00D66A6E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>Российской Федерации",</w:t>
      </w:r>
      <w:r w:rsidR="00DD76C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 Федеральным законом</w:t>
      </w:r>
      <w:r w:rsidRPr="00BA7F8E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от 04.10.2014 г. №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</w:t>
      </w:r>
      <w:r w:rsidR="006B1CF8" w:rsidRPr="00BA7F8E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"</w:t>
      </w:r>
      <w:r w:rsidR="002C4AB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A7F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Уставом городского округа Верх-Нейвинский, Дума городского</w:t>
      </w:r>
      <w:proofErr w:type="gramEnd"/>
      <w:r w:rsidRPr="00BA7F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 Верх-Нейвинский</w:t>
      </w:r>
    </w:p>
    <w:p w:rsidR="00E96BE9" w:rsidRPr="00E96BE9" w:rsidRDefault="00E96BE9" w:rsidP="00E96BE9">
      <w:pPr>
        <w:shd w:val="clear" w:color="auto" w:fill="FFFFFF"/>
        <w:spacing w:after="0" w:line="20" w:lineRule="atLeast"/>
        <w:ind w:right="139" w:firstLine="672"/>
        <w:jc w:val="both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BA79F0" w:rsidRDefault="00B76EF7" w:rsidP="00E96BE9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A7F8E">
        <w:rPr>
          <w:rFonts w:ascii="Times New Roman" w:hAnsi="Times New Roman" w:cs="Times New Roman"/>
          <w:b/>
          <w:sz w:val="27"/>
          <w:szCs w:val="27"/>
        </w:rPr>
        <w:t>РЕШИЛА</w:t>
      </w:r>
      <w:r w:rsidR="00BA79F0" w:rsidRPr="00BA7F8E">
        <w:rPr>
          <w:rFonts w:ascii="Times New Roman" w:hAnsi="Times New Roman" w:cs="Times New Roman"/>
          <w:b/>
          <w:sz w:val="27"/>
          <w:szCs w:val="27"/>
        </w:rPr>
        <w:t>:</w:t>
      </w:r>
    </w:p>
    <w:p w:rsidR="00E96BE9" w:rsidRPr="00E96BE9" w:rsidRDefault="00E96BE9" w:rsidP="00E96BE9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0"/>
          <w:szCs w:val="27"/>
        </w:rPr>
      </w:pPr>
    </w:p>
    <w:p w:rsidR="005572EF" w:rsidRPr="00BA7F8E" w:rsidRDefault="00BA7F8E" w:rsidP="00E96BE9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C4AB9">
        <w:rPr>
          <w:rFonts w:ascii="Times New Roman" w:hAnsi="Times New Roman" w:cs="Times New Roman"/>
          <w:sz w:val="27"/>
          <w:szCs w:val="27"/>
        </w:rPr>
        <w:t>Установить</w:t>
      </w:r>
      <w:r w:rsidR="00D66A6E">
        <w:rPr>
          <w:rFonts w:ascii="Times New Roman" w:hAnsi="Times New Roman" w:cs="Times New Roman"/>
          <w:sz w:val="27"/>
          <w:szCs w:val="27"/>
        </w:rPr>
        <w:t xml:space="preserve"> и ввести</w:t>
      </w:r>
      <w:r w:rsidR="005572EF" w:rsidRPr="00BA7F8E">
        <w:rPr>
          <w:rFonts w:ascii="Times New Roman" w:hAnsi="Times New Roman" w:cs="Times New Roman"/>
          <w:sz w:val="27"/>
          <w:szCs w:val="27"/>
        </w:rPr>
        <w:t xml:space="preserve"> с 1 января 2015 года на территории городского округа Верх-Нейвинский налог на имущество физических лиц.</w:t>
      </w:r>
    </w:p>
    <w:p w:rsidR="00BA7F8E" w:rsidRPr="00BA7F8E" w:rsidRDefault="00BA7F8E" w:rsidP="00E96BE9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 xml:space="preserve">2. </w:t>
      </w:r>
      <w:r w:rsidR="00DD76C2">
        <w:rPr>
          <w:rFonts w:ascii="Times New Roman" w:hAnsi="Times New Roman" w:cs="Times New Roman"/>
          <w:sz w:val="27"/>
          <w:szCs w:val="27"/>
        </w:rPr>
        <w:t>Д</w:t>
      </w:r>
      <w:r w:rsidRPr="00BA7F8E">
        <w:rPr>
          <w:rFonts w:ascii="Times New Roman" w:hAnsi="Times New Roman" w:cs="Times New Roman"/>
          <w:sz w:val="27"/>
          <w:szCs w:val="27"/>
        </w:rPr>
        <w:t>о момента установления Законодательным органом государственной власти субъекта Российской Федерации единой даты применения на территории Свердловской области порядка определения налоговой базы исходя из кадастровой стоимости объек</w:t>
      </w:r>
      <w:r w:rsidR="00DD76C2">
        <w:rPr>
          <w:rFonts w:ascii="Times New Roman" w:hAnsi="Times New Roman" w:cs="Times New Roman"/>
          <w:sz w:val="27"/>
          <w:szCs w:val="27"/>
        </w:rPr>
        <w:t>тов налогообложения</w:t>
      </w:r>
      <w:r w:rsidRPr="00BA7F8E">
        <w:rPr>
          <w:rFonts w:ascii="Times New Roman" w:hAnsi="Times New Roman" w:cs="Times New Roman"/>
          <w:sz w:val="27"/>
          <w:szCs w:val="27"/>
        </w:rPr>
        <w:t xml:space="preserve"> на территории городского округа Верх-Нейвинский</w:t>
      </w:r>
      <w:r w:rsidR="00DD76C2">
        <w:rPr>
          <w:rFonts w:ascii="Times New Roman" w:hAnsi="Times New Roman" w:cs="Times New Roman"/>
          <w:sz w:val="27"/>
          <w:szCs w:val="27"/>
        </w:rPr>
        <w:t xml:space="preserve"> н</w:t>
      </w:r>
      <w:r w:rsidR="00DD76C2" w:rsidRPr="00BA7F8E">
        <w:rPr>
          <w:rFonts w:ascii="Times New Roman" w:hAnsi="Times New Roman" w:cs="Times New Roman"/>
          <w:sz w:val="27"/>
          <w:szCs w:val="27"/>
        </w:rPr>
        <w:t>алоговая база в отношении объектов налогообложения, определенных Налоговым Кодексом Российской Федерации,</w:t>
      </w:r>
      <w:r w:rsidR="00DD76C2">
        <w:rPr>
          <w:rFonts w:ascii="Times New Roman" w:hAnsi="Times New Roman" w:cs="Times New Roman"/>
          <w:sz w:val="27"/>
          <w:szCs w:val="27"/>
        </w:rPr>
        <w:t xml:space="preserve"> определяется</w:t>
      </w:r>
      <w:r w:rsidRPr="00BA7F8E">
        <w:rPr>
          <w:rFonts w:ascii="Times New Roman" w:hAnsi="Times New Roman" w:cs="Times New Roman"/>
          <w:sz w:val="27"/>
          <w:szCs w:val="27"/>
        </w:rPr>
        <w:t xml:space="preserve"> исходя из инвентаризационной стоимости, за исключением объектов, указанных в пункте 3 статьи 402 Налогового Кодекса Российской Федерации.</w:t>
      </w:r>
    </w:p>
    <w:p w:rsidR="007F3FDC" w:rsidRDefault="007F3FDC" w:rsidP="00E96BE9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>Установить на территории городского округа В</w:t>
      </w:r>
      <w:r w:rsidR="005572EF" w:rsidRPr="00BA7F8E">
        <w:rPr>
          <w:rFonts w:ascii="Times New Roman" w:hAnsi="Times New Roman" w:cs="Times New Roman"/>
          <w:sz w:val="27"/>
          <w:szCs w:val="27"/>
        </w:rPr>
        <w:t>ерх-Нейвинский</w:t>
      </w:r>
      <w:r w:rsidRPr="00BA7F8E">
        <w:rPr>
          <w:rFonts w:ascii="Times New Roman" w:hAnsi="Times New Roman" w:cs="Times New Roman"/>
          <w:sz w:val="27"/>
          <w:szCs w:val="27"/>
        </w:rPr>
        <w:t xml:space="preserve"> ставки налога на имущество физических лиц в зависимости от суммарной инвентаризационной стоимости, исчисленной с учетом коэффициента-дефлятора, определяемого в соответствии с частью первой Налогового кодекса Российской Федерации и вида объекта налогообложения, принадлежащего на праве собственности</w:t>
      </w:r>
      <w:r w:rsidR="00946D76" w:rsidRPr="00BA7F8E">
        <w:rPr>
          <w:rFonts w:ascii="Times New Roman" w:hAnsi="Times New Roman" w:cs="Times New Roman"/>
          <w:sz w:val="27"/>
          <w:szCs w:val="27"/>
        </w:rPr>
        <w:t xml:space="preserve"> налогоплательщику (с учетом доли налогоплательщика в праве общей собственности на каждый из таких объектов)</w:t>
      </w:r>
      <w:r w:rsidRPr="00BA7F8E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134"/>
        <w:gridCol w:w="4076"/>
      </w:tblGrid>
      <w:tr w:rsidR="00EC5FDA" w:rsidRPr="000E564E" w:rsidTr="00E96BE9"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EC5FDA" w:rsidRPr="00E96BE9" w:rsidRDefault="00EC5FDA" w:rsidP="00E96BE9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C5FDA" w:rsidRPr="00E96BE9" w:rsidRDefault="00EC5FDA" w:rsidP="00E96BE9">
            <w:pPr>
              <w:spacing w:after="0" w:line="240" w:lineRule="auto"/>
              <w:ind w:left="-93" w:right="-108" w:firstLine="851"/>
              <w:jc w:val="center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ставка налога, %</w:t>
            </w:r>
          </w:p>
        </w:tc>
      </w:tr>
      <w:tr w:rsidR="00EC5FDA" w:rsidRPr="000E564E" w:rsidTr="00E96BE9">
        <w:tc>
          <w:tcPr>
            <w:tcW w:w="4551" w:type="dxa"/>
            <w:vMerge/>
            <w:vAlign w:val="center"/>
            <w:hideMark/>
          </w:tcPr>
          <w:p w:rsidR="00EC5FDA" w:rsidRPr="00E96BE9" w:rsidRDefault="00EC5FDA" w:rsidP="00E96BE9">
            <w:pPr>
              <w:spacing w:after="0" w:line="240" w:lineRule="auto"/>
              <w:ind w:left="-93" w:right="-108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5FDA" w:rsidRPr="00E96BE9" w:rsidRDefault="00EC5FDA" w:rsidP="00E96BE9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по жилым домам, квартирам, комнатам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:rsidR="00EC5FDA" w:rsidRPr="00E96BE9" w:rsidRDefault="00EC5FDA" w:rsidP="00E96BE9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по гаражам,</w:t>
            </w:r>
            <w:r w:rsidR="009E5311"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9E5311"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машино-местам</w:t>
            </w:r>
            <w:proofErr w:type="spellEnd"/>
            <w:r w:rsidR="009E5311"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,</w:t>
            </w:r>
            <w:r w:rsidRPr="00E96BE9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единым недвижимым комплексам, объектам незавершенного строительства, иным зданиям, строениям, сооружениям, помещениям</w:t>
            </w:r>
          </w:p>
        </w:tc>
      </w:tr>
      <w:tr w:rsidR="00EC5FDA" w:rsidRPr="000E564E" w:rsidTr="00E96BE9">
        <w:tc>
          <w:tcPr>
            <w:tcW w:w="4551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До 300 000 рублей (включительно)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0,1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0,1</w:t>
            </w:r>
          </w:p>
        </w:tc>
      </w:tr>
      <w:tr w:rsidR="00EC5FDA" w:rsidRPr="000E564E" w:rsidTr="00E96BE9">
        <w:tc>
          <w:tcPr>
            <w:tcW w:w="4551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Свыше 300 000 рублей до 500 000 рублей (включительно)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</w:tr>
      <w:tr w:rsidR="00EC5FDA" w:rsidRPr="000E564E" w:rsidTr="00E96BE9">
        <w:tc>
          <w:tcPr>
            <w:tcW w:w="4551" w:type="dxa"/>
            <w:shd w:val="clear" w:color="auto" w:fill="auto"/>
            <w:vAlign w:val="center"/>
            <w:hideMark/>
          </w:tcPr>
          <w:p w:rsidR="00EC5FDA" w:rsidRPr="00BA7F8E" w:rsidRDefault="00EC5FDA" w:rsidP="00E96BE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Свыше 500 000 рублей до 1 000 000 рублей (включительно)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5FDA" w:rsidRPr="00BA7F8E" w:rsidRDefault="00793AAF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:rsidR="00EC5FDA" w:rsidRPr="00BA7F8E" w:rsidRDefault="002C1EF2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93AA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EC5FDA" w:rsidRPr="000E564E" w:rsidTr="00E96BE9">
        <w:tc>
          <w:tcPr>
            <w:tcW w:w="4551" w:type="dxa"/>
            <w:shd w:val="clear" w:color="auto" w:fill="auto"/>
            <w:vAlign w:val="center"/>
          </w:tcPr>
          <w:p w:rsidR="00EC5FDA" w:rsidRPr="00BA7F8E" w:rsidRDefault="00EC5FDA" w:rsidP="00E96BE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Свыше 1 000 000 рублей до 2 000 000 рублей (включительно)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FDA" w:rsidRPr="00BA7F8E" w:rsidRDefault="00793AAF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EC5FDA" w:rsidRPr="00BA7F8E" w:rsidRDefault="00793AAF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1,2</w:t>
            </w:r>
          </w:p>
        </w:tc>
      </w:tr>
      <w:tr w:rsidR="00EC5FDA" w:rsidRPr="000E564E" w:rsidTr="00E96BE9">
        <w:tc>
          <w:tcPr>
            <w:tcW w:w="4551" w:type="dxa"/>
            <w:shd w:val="clear" w:color="auto" w:fill="auto"/>
            <w:vAlign w:val="center"/>
          </w:tcPr>
          <w:p w:rsidR="00EC5FDA" w:rsidRPr="00BA7F8E" w:rsidRDefault="00EC5FDA" w:rsidP="00E96BE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F8E">
              <w:rPr>
                <w:rFonts w:ascii="Times New Roman" w:hAnsi="Times New Roman" w:cs="Times New Roman"/>
                <w:sz w:val="21"/>
                <w:szCs w:val="21"/>
              </w:rPr>
              <w:t>Свыше 2 000 000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FDA" w:rsidRPr="00BA7F8E" w:rsidRDefault="00793AAF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EC5FDA" w:rsidRPr="00BA7F8E" w:rsidRDefault="00793AAF" w:rsidP="00E9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1,5</w:t>
            </w:r>
            <w:bookmarkStart w:id="1" w:name="_GoBack"/>
            <w:bookmarkEnd w:id="1"/>
          </w:p>
        </w:tc>
      </w:tr>
    </w:tbl>
    <w:p w:rsidR="00D66A6E" w:rsidRDefault="00D66A6E" w:rsidP="007F3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F3FDC" w:rsidRPr="00BA7F8E" w:rsidRDefault="00BA7F8E" w:rsidP="007F3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>4</w:t>
      </w:r>
      <w:r w:rsidR="007F3FDC" w:rsidRPr="00BA7F8E">
        <w:rPr>
          <w:rFonts w:ascii="Times New Roman" w:hAnsi="Times New Roman" w:cs="Times New Roman"/>
          <w:sz w:val="27"/>
          <w:szCs w:val="27"/>
        </w:rPr>
        <w:t>. Налогоплательщики налога на имущество физических лиц уплачивают налог на имущество физических лиц в порядке и сроки, установленные законодательством Российской Федерации о налогах и сборах.</w:t>
      </w:r>
    </w:p>
    <w:p w:rsidR="007F3FDC" w:rsidRPr="00BA7F8E" w:rsidRDefault="00BA7F8E" w:rsidP="00D6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37"/>
      <w:bookmarkEnd w:id="2"/>
      <w:r w:rsidRPr="00BA7F8E">
        <w:rPr>
          <w:rFonts w:ascii="Times New Roman" w:hAnsi="Times New Roman" w:cs="Times New Roman"/>
          <w:sz w:val="27"/>
          <w:szCs w:val="27"/>
        </w:rPr>
        <w:t>5</w:t>
      </w:r>
      <w:r w:rsidR="007F3FDC" w:rsidRPr="00BA7F8E">
        <w:rPr>
          <w:rFonts w:ascii="Times New Roman" w:hAnsi="Times New Roman" w:cs="Times New Roman"/>
          <w:sz w:val="27"/>
          <w:szCs w:val="27"/>
        </w:rPr>
        <w:t>. Льготы по налогу на имущество физических лиц предоставляю</w:t>
      </w:r>
      <w:r w:rsidR="00A327CD" w:rsidRPr="00BA7F8E">
        <w:rPr>
          <w:rFonts w:ascii="Times New Roman" w:hAnsi="Times New Roman" w:cs="Times New Roman"/>
          <w:sz w:val="27"/>
          <w:szCs w:val="27"/>
        </w:rPr>
        <w:t>тся гражданам в соответствии со статьей 407 главы 32 части второй Налогового кодекса Российской Федерации в полном объеме</w:t>
      </w:r>
      <w:r w:rsidR="007F3FDC" w:rsidRPr="00BA7F8E">
        <w:rPr>
          <w:rFonts w:ascii="Times New Roman" w:hAnsi="Times New Roman" w:cs="Times New Roman"/>
          <w:sz w:val="27"/>
          <w:szCs w:val="27"/>
        </w:rPr>
        <w:t>.</w:t>
      </w:r>
      <w:bookmarkStart w:id="3" w:name="Par38"/>
      <w:bookmarkEnd w:id="3"/>
    </w:p>
    <w:p w:rsidR="007F3FDC" w:rsidRPr="00BA7F8E" w:rsidRDefault="00D66A6E" w:rsidP="00F84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F84049" w:rsidRPr="00BA7F8E">
        <w:rPr>
          <w:rFonts w:ascii="Times New Roman" w:hAnsi="Times New Roman" w:cs="Times New Roman"/>
          <w:sz w:val="27"/>
          <w:szCs w:val="27"/>
        </w:rPr>
        <w:t xml:space="preserve">. Решение </w:t>
      </w:r>
      <w:r w:rsidR="007F3FDC" w:rsidRPr="00BA7F8E">
        <w:rPr>
          <w:rFonts w:ascii="Times New Roman" w:hAnsi="Times New Roman" w:cs="Times New Roman"/>
          <w:sz w:val="27"/>
          <w:szCs w:val="27"/>
        </w:rPr>
        <w:t>Думы городского</w:t>
      </w:r>
      <w:r w:rsidR="007A3FC5" w:rsidRPr="00BA7F8E">
        <w:rPr>
          <w:rFonts w:ascii="Times New Roman" w:hAnsi="Times New Roman" w:cs="Times New Roman"/>
          <w:sz w:val="27"/>
          <w:szCs w:val="27"/>
        </w:rPr>
        <w:t xml:space="preserve"> округа Верх-Нейвинский от 27.11.2008</w:t>
      </w:r>
      <w:r w:rsidR="00F84049" w:rsidRPr="00BA7F8E">
        <w:rPr>
          <w:rFonts w:ascii="Times New Roman" w:hAnsi="Times New Roman" w:cs="Times New Roman"/>
          <w:sz w:val="27"/>
          <w:szCs w:val="27"/>
        </w:rPr>
        <w:t xml:space="preserve"> № 103 «Об установлении ставок налога на имущество физических лиц на территории городского округа Верх-Нейвинский» признать утратившим силу с момента вступления в силу настоящего Решения.</w:t>
      </w:r>
    </w:p>
    <w:p w:rsidR="007F3FDC" w:rsidRPr="00BA7F8E" w:rsidRDefault="00D66A6E" w:rsidP="00F84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7F3FDC" w:rsidRPr="00BA7F8E">
        <w:rPr>
          <w:rFonts w:ascii="Times New Roman" w:hAnsi="Times New Roman" w:cs="Times New Roman"/>
          <w:sz w:val="27"/>
          <w:szCs w:val="27"/>
        </w:rPr>
        <w:t>. Настоящее Решение</w:t>
      </w:r>
      <w:r w:rsidR="007A3FC5" w:rsidRPr="00BA7F8E">
        <w:rPr>
          <w:rFonts w:ascii="Times New Roman" w:hAnsi="Times New Roman" w:cs="Times New Roman"/>
          <w:sz w:val="27"/>
          <w:szCs w:val="27"/>
        </w:rPr>
        <w:t xml:space="preserve"> вступает в силу с 1 января 2015</w:t>
      </w:r>
      <w:r w:rsidR="007F3FDC" w:rsidRPr="00BA7F8E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942810" w:rsidRPr="00BA7F8E" w:rsidRDefault="00D66A6E" w:rsidP="00F401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F401F9" w:rsidRPr="00BA7F8E">
        <w:rPr>
          <w:rFonts w:ascii="Times New Roman" w:hAnsi="Times New Roman" w:cs="Times New Roman"/>
          <w:sz w:val="27"/>
          <w:szCs w:val="27"/>
        </w:rPr>
        <w:t>.</w:t>
      </w:r>
      <w:r w:rsidR="005C71C2" w:rsidRPr="00BA7F8E">
        <w:rPr>
          <w:rFonts w:ascii="Times New Roman" w:hAnsi="Times New Roman" w:cs="Times New Roman"/>
          <w:sz w:val="27"/>
          <w:szCs w:val="27"/>
        </w:rPr>
        <w:t xml:space="preserve">Опубликовать </w:t>
      </w:r>
      <w:r w:rsidR="00BA79F0" w:rsidRPr="00BA7F8E">
        <w:rPr>
          <w:rFonts w:ascii="Times New Roman" w:hAnsi="Times New Roman" w:cs="Times New Roman"/>
          <w:sz w:val="27"/>
          <w:szCs w:val="27"/>
        </w:rPr>
        <w:t xml:space="preserve">данное </w:t>
      </w:r>
      <w:r w:rsidR="001B3ED7" w:rsidRPr="00BA7F8E">
        <w:rPr>
          <w:rFonts w:ascii="Times New Roman" w:hAnsi="Times New Roman" w:cs="Times New Roman"/>
          <w:sz w:val="27"/>
          <w:szCs w:val="27"/>
        </w:rPr>
        <w:t>Реше</w:t>
      </w:r>
      <w:r w:rsidR="00BA79F0" w:rsidRPr="00BA7F8E">
        <w:rPr>
          <w:rFonts w:ascii="Times New Roman" w:hAnsi="Times New Roman" w:cs="Times New Roman"/>
          <w:sz w:val="27"/>
          <w:szCs w:val="27"/>
        </w:rPr>
        <w:t xml:space="preserve">ние на официальном сайте </w:t>
      </w:r>
      <w:r w:rsidR="003A2930" w:rsidRPr="00BA7F8E">
        <w:rPr>
          <w:rFonts w:ascii="Times New Roman" w:hAnsi="Times New Roman" w:cs="Times New Roman"/>
          <w:sz w:val="27"/>
          <w:szCs w:val="27"/>
        </w:rPr>
        <w:t>городского округа Верх-Нейвинский</w:t>
      </w:r>
      <w:r w:rsidR="007A3FC5" w:rsidRPr="00BA7F8E">
        <w:rPr>
          <w:rFonts w:ascii="Times New Roman" w:hAnsi="Times New Roman" w:cs="Times New Roman"/>
          <w:sz w:val="27"/>
          <w:szCs w:val="27"/>
        </w:rPr>
        <w:t xml:space="preserve"> и в газете "Верх-Нейвинский вестник".</w:t>
      </w:r>
    </w:p>
    <w:p w:rsidR="000C3D4B" w:rsidRDefault="00D66A6E" w:rsidP="005572EF">
      <w:pPr>
        <w:pStyle w:val="ConsPlusNormal"/>
        <w:widowControl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</w:t>
      </w:r>
      <w:r w:rsidR="005572EF" w:rsidRPr="00BA7F8E">
        <w:rPr>
          <w:rFonts w:ascii="Times New Roman" w:hAnsi="Times New Roman"/>
          <w:sz w:val="27"/>
          <w:szCs w:val="27"/>
        </w:rPr>
        <w:t>.</w:t>
      </w:r>
      <w:r w:rsidR="000C3D4B" w:rsidRPr="00BA7F8E">
        <w:rPr>
          <w:rFonts w:ascii="Times New Roman" w:hAnsi="Times New Roman"/>
          <w:sz w:val="27"/>
          <w:szCs w:val="27"/>
        </w:rPr>
        <w:t xml:space="preserve">Контроль по исполнению </w:t>
      </w:r>
      <w:r w:rsidR="00F84049" w:rsidRPr="00BA7F8E">
        <w:rPr>
          <w:rFonts w:ascii="Times New Roman" w:hAnsi="Times New Roman"/>
          <w:sz w:val="27"/>
          <w:szCs w:val="27"/>
        </w:rPr>
        <w:t>настоящего Р</w:t>
      </w:r>
      <w:r w:rsidR="000C3D4B" w:rsidRPr="00BA7F8E">
        <w:rPr>
          <w:rFonts w:ascii="Times New Roman" w:hAnsi="Times New Roman"/>
          <w:sz w:val="27"/>
          <w:szCs w:val="27"/>
        </w:rPr>
        <w:t xml:space="preserve">ешения возложить на постоянную комиссию </w:t>
      </w:r>
      <w:r w:rsidR="00F84049" w:rsidRPr="00BA7F8E">
        <w:rPr>
          <w:rFonts w:ascii="Times New Roman" w:hAnsi="Times New Roman"/>
          <w:sz w:val="27"/>
          <w:szCs w:val="27"/>
        </w:rPr>
        <w:t>Думы городского округа Верх-Нейвинский по</w:t>
      </w:r>
      <w:r w:rsidR="00D84F92" w:rsidRPr="00BA7F8E">
        <w:rPr>
          <w:rFonts w:ascii="Times New Roman" w:hAnsi="Times New Roman"/>
          <w:sz w:val="27"/>
          <w:szCs w:val="27"/>
        </w:rPr>
        <w:t xml:space="preserve"> законодательству,</w:t>
      </w:r>
      <w:r w:rsidR="000C3D4B" w:rsidRPr="00BA7F8E">
        <w:rPr>
          <w:rFonts w:ascii="Times New Roman" w:hAnsi="Times New Roman"/>
          <w:sz w:val="27"/>
          <w:szCs w:val="27"/>
        </w:rPr>
        <w:t xml:space="preserve"> бюджету и финансовым вопро</w:t>
      </w:r>
      <w:r w:rsidR="00F84049" w:rsidRPr="00BA7F8E">
        <w:rPr>
          <w:rFonts w:ascii="Times New Roman" w:hAnsi="Times New Roman"/>
          <w:sz w:val="27"/>
          <w:szCs w:val="27"/>
        </w:rPr>
        <w:t xml:space="preserve">сам (председатель – </w:t>
      </w:r>
      <w:proofErr w:type="spellStart"/>
      <w:r w:rsidR="00F84049" w:rsidRPr="00BA7F8E">
        <w:rPr>
          <w:rFonts w:ascii="Times New Roman" w:hAnsi="Times New Roman"/>
          <w:sz w:val="27"/>
          <w:szCs w:val="27"/>
        </w:rPr>
        <w:t>В.И.Бобошин</w:t>
      </w:r>
      <w:proofErr w:type="spellEnd"/>
      <w:r w:rsidR="00F84049" w:rsidRPr="00BA7F8E">
        <w:rPr>
          <w:rFonts w:ascii="Times New Roman" w:hAnsi="Times New Roman"/>
          <w:sz w:val="27"/>
          <w:szCs w:val="27"/>
        </w:rPr>
        <w:t>)</w:t>
      </w:r>
      <w:r w:rsidR="000C3D4B" w:rsidRPr="00BA7F8E">
        <w:rPr>
          <w:rFonts w:ascii="Times New Roman" w:hAnsi="Times New Roman"/>
          <w:sz w:val="27"/>
          <w:szCs w:val="27"/>
        </w:rPr>
        <w:t>.</w:t>
      </w:r>
    </w:p>
    <w:p w:rsidR="00D66A6E" w:rsidRDefault="00D66A6E" w:rsidP="005572EF">
      <w:pPr>
        <w:pStyle w:val="ConsPlusNormal"/>
        <w:widowControl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BA79F0" w:rsidRPr="00BA7F8E" w:rsidRDefault="00BA7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A79F0" w:rsidRPr="00BA7F8E" w:rsidRDefault="00942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>Глава</w:t>
      </w:r>
      <w:r w:rsidR="005D6805" w:rsidRPr="00BA7F8E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Pr="00BA7F8E">
        <w:rPr>
          <w:rFonts w:ascii="Times New Roman" w:hAnsi="Times New Roman" w:cs="Times New Roman"/>
          <w:sz w:val="27"/>
          <w:szCs w:val="27"/>
        </w:rPr>
        <w:tab/>
      </w:r>
      <w:r w:rsidR="005D6805" w:rsidRPr="00BA7F8E">
        <w:rPr>
          <w:rFonts w:ascii="Times New Roman" w:hAnsi="Times New Roman" w:cs="Times New Roman"/>
          <w:sz w:val="27"/>
          <w:szCs w:val="27"/>
        </w:rPr>
        <w:tab/>
        <w:t xml:space="preserve">  Е.С. </w:t>
      </w:r>
      <w:proofErr w:type="gramStart"/>
      <w:r w:rsidR="005D6805" w:rsidRPr="00BA7F8E">
        <w:rPr>
          <w:rFonts w:ascii="Times New Roman" w:hAnsi="Times New Roman" w:cs="Times New Roman"/>
          <w:sz w:val="27"/>
          <w:szCs w:val="27"/>
        </w:rPr>
        <w:t>Плохих</w:t>
      </w:r>
      <w:proofErr w:type="gramEnd"/>
    </w:p>
    <w:p w:rsidR="005D6805" w:rsidRPr="00BA7F8E" w:rsidRDefault="00F84049" w:rsidP="00BA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A7F8E">
        <w:rPr>
          <w:rFonts w:ascii="Times New Roman" w:hAnsi="Times New Roman" w:cs="Times New Roman"/>
          <w:sz w:val="27"/>
          <w:szCs w:val="27"/>
        </w:rPr>
        <w:t>Верх-Нейвинский</w:t>
      </w:r>
      <w:bookmarkStart w:id="4" w:name="Par27"/>
      <w:bookmarkEnd w:id="4"/>
    </w:p>
    <w:p w:rsidR="005D6805" w:rsidRDefault="005D6805" w:rsidP="00D656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D6805" w:rsidSect="00E96BE9">
      <w:pgSz w:w="11906" w:h="16838" w:code="9"/>
      <w:pgMar w:top="567" w:right="850" w:bottom="709" w:left="141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F1D"/>
    <w:multiLevelType w:val="hybridMultilevel"/>
    <w:tmpl w:val="AB34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6A07"/>
    <w:multiLevelType w:val="hybridMultilevel"/>
    <w:tmpl w:val="AA8C492A"/>
    <w:lvl w:ilvl="0" w:tplc="E724F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072F40"/>
    <w:multiLevelType w:val="hybridMultilevel"/>
    <w:tmpl w:val="B596E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6E03"/>
    <w:multiLevelType w:val="hybridMultilevel"/>
    <w:tmpl w:val="9830D620"/>
    <w:lvl w:ilvl="0" w:tplc="AD7C04EE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E864AA"/>
    <w:multiLevelType w:val="hybridMultilevel"/>
    <w:tmpl w:val="E4DA3AF0"/>
    <w:lvl w:ilvl="0" w:tplc="114CFB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661635"/>
    <w:multiLevelType w:val="hybridMultilevel"/>
    <w:tmpl w:val="EAF69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13AF"/>
    <w:multiLevelType w:val="hybridMultilevel"/>
    <w:tmpl w:val="B71E9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37430"/>
    <w:multiLevelType w:val="hybridMultilevel"/>
    <w:tmpl w:val="F4DC4DD0"/>
    <w:lvl w:ilvl="0" w:tplc="173E08C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BA79F0"/>
    <w:rsid w:val="00027870"/>
    <w:rsid w:val="000335B4"/>
    <w:rsid w:val="00035022"/>
    <w:rsid w:val="000B3DF4"/>
    <w:rsid w:val="000C3D4B"/>
    <w:rsid w:val="000C7518"/>
    <w:rsid w:val="001018C4"/>
    <w:rsid w:val="00131AFC"/>
    <w:rsid w:val="00135224"/>
    <w:rsid w:val="001537E7"/>
    <w:rsid w:val="00156F5E"/>
    <w:rsid w:val="001665FB"/>
    <w:rsid w:val="001807A9"/>
    <w:rsid w:val="001B3ED7"/>
    <w:rsid w:val="00201CC1"/>
    <w:rsid w:val="002342B0"/>
    <w:rsid w:val="00250FE7"/>
    <w:rsid w:val="00267907"/>
    <w:rsid w:val="00272788"/>
    <w:rsid w:val="00290D14"/>
    <w:rsid w:val="002A4A1B"/>
    <w:rsid w:val="002A7513"/>
    <w:rsid w:val="002C1EF2"/>
    <w:rsid w:val="002C4AB9"/>
    <w:rsid w:val="00321ABA"/>
    <w:rsid w:val="00323CCB"/>
    <w:rsid w:val="00333E65"/>
    <w:rsid w:val="00362209"/>
    <w:rsid w:val="003A0609"/>
    <w:rsid w:val="003A1C4F"/>
    <w:rsid w:val="003A2930"/>
    <w:rsid w:val="004014C7"/>
    <w:rsid w:val="00426D8B"/>
    <w:rsid w:val="00457EFE"/>
    <w:rsid w:val="00472438"/>
    <w:rsid w:val="004A46E8"/>
    <w:rsid w:val="004A69C9"/>
    <w:rsid w:val="004E789A"/>
    <w:rsid w:val="00514BCE"/>
    <w:rsid w:val="00527A4C"/>
    <w:rsid w:val="005572EF"/>
    <w:rsid w:val="0056351F"/>
    <w:rsid w:val="005955AD"/>
    <w:rsid w:val="005C71C2"/>
    <w:rsid w:val="005D4AD6"/>
    <w:rsid w:val="005D6805"/>
    <w:rsid w:val="00605C81"/>
    <w:rsid w:val="006A533B"/>
    <w:rsid w:val="006B0B8A"/>
    <w:rsid w:val="006B1CF8"/>
    <w:rsid w:val="006E43CB"/>
    <w:rsid w:val="006F0754"/>
    <w:rsid w:val="006F4843"/>
    <w:rsid w:val="00787423"/>
    <w:rsid w:val="00793AAF"/>
    <w:rsid w:val="007A3FC5"/>
    <w:rsid w:val="007D518A"/>
    <w:rsid w:val="007F3FDC"/>
    <w:rsid w:val="008048D0"/>
    <w:rsid w:val="0080645E"/>
    <w:rsid w:val="00820345"/>
    <w:rsid w:val="0084028B"/>
    <w:rsid w:val="00885B54"/>
    <w:rsid w:val="008A3905"/>
    <w:rsid w:val="008B11D8"/>
    <w:rsid w:val="008B1480"/>
    <w:rsid w:val="008C4099"/>
    <w:rsid w:val="008E483D"/>
    <w:rsid w:val="008E7714"/>
    <w:rsid w:val="00942810"/>
    <w:rsid w:val="00946D76"/>
    <w:rsid w:val="0097776F"/>
    <w:rsid w:val="0098758B"/>
    <w:rsid w:val="0099163A"/>
    <w:rsid w:val="009A3A5B"/>
    <w:rsid w:val="009A447A"/>
    <w:rsid w:val="009A6316"/>
    <w:rsid w:val="009E5311"/>
    <w:rsid w:val="00A1288F"/>
    <w:rsid w:val="00A25BA4"/>
    <w:rsid w:val="00A327CD"/>
    <w:rsid w:val="00A53A13"/>
    <w:rsid w:val="00A61429"/>
    <w:rsid w:val="00A64731"/>
    <w:rsid w:val="00A7334E"/>
    <w:rsid w:val="00A75D44"/>
    <w:rsid w:val="00A947D1"/>
    <w:rsid w:val="00AE09F0"/>
    <w:rsid w:val="00B54E0B"/>
    <w:rsid w:val="00B57EFC"/>
    <w:rsid w:val="00B76EF7"/>
    <w:rsid w:val="00B816F0"/>
    <w:rsid w:val="00B86A72"/>
    <w:rsid w:val="00BA79F0"/>
    <w:rsid w:val="00BA7F8E"/>
    <w:rsid w:val="00BB005D"/>
    <w:rsid w:val="00BB653B"/>
    <w:rsid w:val="00BC273A"/>
    <w:rsid w:val="00BE401E"/>
    <w:rsid w:val="00BF3C3A"/>
    <w:rsid w:val="00C74DA5"/>
    <w:rsid w:val="00CA0BA4"/>
    <w:rsid w:val="00CA394F"/>
    <w:rsid w:val="00CB08A5"/>
    <w:rsid w:val="00CB5366"/>
    <w:rsid w:val="00CC51AC"/>
    <w:rsid w:val="00CD5251"/>
    <w:rsid w:val="00D656A0"/>
    <w:rsid w:val="00D66A6E"/>
    <w:rsid w:val="00D84F92"/>
    <w:rsid w:val="00D855BB"/>
    <w:rsid w:val="00DB503A"/>
    <w:rsid w:val="00DD76C2"/>
    <w:rsid w:val="00DF1A80"/>
    <w:rsid w:val="00DF49E3"/>
    <w:rsid w:val="00E010E2"/>
    <w:rsid w:val="00E210D3"/>
    <w:rsid w:val="00E96BE9"/>
    <w:rsid w:val="00EC5FDA"/>
    <w:rsid w:val="00F33916"/>
    <w:rsid w:val="00F401F9"/>
    <w:rsid w:val="00F47621"/>
    <w:rsid w:val="00F529DF"/>
    <w:rsid w:val="00F70F1F"/>
    <w:rsid w:val="00F84049"/>
    <w:rsid w:val="00F85C6A"/>
    <w:rsid w:val="00F907CE"/>
    <w:rsid w:val="00F963E4"/>
    <w:rsid w:val="00FE435B"/>
    <w:rsid w:val="00FE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426D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426D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D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C3D4B"/>
    <w:pPr>
      <w:ind w:left="720"/>
      <w:contextualSpacing/>
    </w:pPr>
  </w:style>
  <w:style w:type="paragraph" w:styleId="a8">
    <w:name w:val="Body Text"/>
    <w:basedOn w:val="a"/>
    <w:link w:val="a9"/>
    <w:rsid w:val="00EC5F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C5F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F0993-7FF3-4939-A028-F03D9305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Хомутова</dc:creator>
  <cp:lastModifiedBy>RePack by SPecialiST</cp:lastModifiedBy>
  <cp:revision>27</cp:revision>
  <cp:lastPrinted>2014-11-12T04:07:00Z</cp:lastPrinted>
  <dcterms:created xsi:type="dcterms:W3CDTF">2014-07-10T10:00:00Z</dcterms:created>
  <dcterms:modified xsi:type="dcterms:W3CDTF">2014-11-14T09:32:00Z</dcterms:modified>
</cp:coreProperties>
</file>