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32" w:rsidRDefault="00946D32" w:rsidP="00946D32">
      <w:pPr>
        <w:jc w:val="center"/>
      </w:pPr>
      <w:r w:rsidRPr="00862940">
        <w:rPr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8.75pt" o:ole="">
            <v:imagedata r:id="rId6" o:title=""/>
          </v:shape>
          <o:OLEObject Type="Embed" ProgID="Unknown" ShapeID="_x0000_i1025" DrawAspect="Content" ObjectID="_1485774629" r:id="rId7"/>
        </w:object>
      </w:r>
    </w:p>
    <w:p w:rsidR="00946D32" w:rsidRDefault="00946D32" w:rsidP="00946D32">
      <w:pPr>
        <w:jc w:val="center"/>
        <w:rPr>
          <w:b/>
          <w:sz w:val="36"/>
          <w:szCs w:val="36"/>
        </w:rPr>
      </w:pPr>
      <w:r w:rsidRPr="009E1875">
        <w:rPr>
          <w:b/>
          <w:sz w:val="36"/>
          <w:szCs w:val="36"/>
        </w:rPr>
        <w:t>РЕШЕНИЕ</w:t>
      </w:r>
    </w:p>
    <w:p w:rsidR="001A026A" w:rsidRPr="001A026A" w:rsidRDefault="001A026A" w:rsidP="00946D32">
      <w:pPr>
        <w:jc w:val="center"/>
        <w:rPr>
          <w:b/>
          <w:sz w:val="22"/>
          <w:szCs w:val="36"/>
        </w:rPr>
      </w:pPr>
    </w:p>
    <w:p w:rsidR="00946D32" w:rsidRPr="0066529A" w:rsidRDefault="00E00791" w:rsidP="00946D32">
      <w:pPr>
        <w:pBdr>
          <w:bottom w:val="single" w:sz="12" w:space="8" w:color="auto"/>
        </w:pBdr>
        <w:jc w:val="center"/>
        <w:outlineLvl w:val="0"/>
        <w:rPr>
          <w:b/>
        </w:rPr>
      </w:pPr>
      <w:r>
        <w:rPr>
          <w:b/>
          <w:noProof/>
        </w:rPr>
        <w:pict>
          <v:line id="_x0000_s1026" style="position:absolute;left:0;text-align:left;z-index:251660288" from="0,18.2pt" to="468pt,18.2pt" strokeweight="3pt"/>
        </w:pict>
      </w:r>
      <w:r w:rsidR="00946D32" w:rsidRPr="009E1875">
        <w:rPr>
          <w:b/>
        </w:rPr>
        <w:t>ДУМЫ ГОРОДСКОГО ОКРУГА ВЕРХ-НЕЙВИНСКИЙ</w:t>
      </w:r>
    </w:p>
    <w:p w:rsidR="001A026A" w:rsidRDefault="001A026A" w:rsidP="00946D32">
      <w:pPr>
        <w:rPr>
          <w:sz w:val="28"/>
          <w:szCs w:val="28"/>
          <w:u w:val="single"/>
        </w:rPr>
      </w:pPr>
    </w:p>
    <w:p w:rsidR="00946D32" w:rsidRDefault="00946D32" w:rsidP="00946D3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</w:t>
      </w:r>
      <w:r w:rsidR="003859BE">
        <w:rPr>
          <w:sz w:val="28"/>
          <w:szCs w:val="28"/>
          <w:u w:val="single"/>
        </w:rPr>
        <w:t>4</w:t>
      </w:r>
      <w:r w:rsidRPr="003B4CA8">
        <w:rPr>
          <w:sz w:val="28"/>
          <w:szCs w:val="28"/>
          <w:u w:val="single"/>
        </w:rPr>
        <w:t>.0</w:t>
      </w:r>
      <w:r w:rsidR="003859BE">
        <w:rPr>
          <w:sz w:val="28"/>
          <w:szCs w:val="28"/>
          <w:u w:val="single"/>
        </w:rPr>
        <w:t>2</w:t>
      </w:r>
      <w:r w:rsidRPr="003B4CA8">
        <w:rPr>
          <w:sz w:val="28"/>
          <w:szCs w:val="28"/>
          <w:u w:val="single"/>
        </w:rPr>
        <w:t>.201</w:t>
      </w:r>
      <w:r w:rsidR="003859BE">
        <w:rPr>
          <w:sz w:val="28"/>
          <w:szCs w:val="28"/>
          <w:u w:val="single"/>
        </w:rPr>
        <w:t>5</w:t>
      </w:r>
      <w:r w:rsidRPr="003B4CA8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="00A76886">
        <w:rPr>
          <w:sz w:val="28"/>
          <w:szCs w:val="28"/>
          <w:u w:val="single"/>
        </w:rPr>
        <w:t xml:space="preserve"> </w:t>
      </w:r>
    </w:p>
    <w:p w:rsidR="00946D32" w:rsidRPr="00D665CF" w:rsidRDefault="00946D32" w:rsidP="00946D32">
      <w:pPr>
        <w:rPr>
          <w:sz w:val="28"/>
          <w:szCs w:val="28"/>
        </w:rPr>
      </w:pPr>
      <w:r w:rsidRPr="00D665CF">
        <w:t>р.п. Верх-Нейвинский</w:t>
      </w:r>
    </w:p>
    <w:p w:rsidR="00946D32" w:rsidRPr="009865A9" w:rsidRDefault="00946D32" w:rsidP="00946D32">
      <w:pPr>
        <w:outlineLvl w:val="0"/>
        <w:rPr>
          <w:b/>
          <w:i/>
          <w:sz w:val="20"/>
        </w:rPr>
      </w:pP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>Об утверждении проекта реше</w:t>
      </w:r>
      <w:r>
        <w:rPr>
          <w:b/>
          <w:i/>
          <w:sz w:val="28"/>
          <w:szCs w:val="28"/>
        </w:rPr>
        <w:t xml:space="preserve">ния </w:t>
      </w:r>
      <w:r w:rsidRPr="004D2D39">
        <w:rPr>
          <w:b/>
          <w:i/>
          <w:sz w:val="28"/>
          <w:szCs w:val="28"/>
        </w:rPr>
        <w:t xml:space="preserve">о внесении изменений </w:t>
      </w:r>
    </w:p>
    <w:p w:rsidR="00946D32" w:rsidRDefault="00946D32" w:rsidP="00946D32">
      <w:pPr>
        <w:jc w:val="center"/>
        <w:outlineLvl w:val="0"/>
        <w:rPr>
          <w:b/>
          <w:i/>
          <w:sz w:val="28"/>
          <w:szCs w:val="28"/>
        </w:rPr>
      </w:pPr>
      <w:r w:rsidRPr="004D2D39">
        <w:rPr>
          <w:b/>
          <w:i/>
          <w:sz w:val="28"/>
          <w:szCs w:val="28"/>
        </w:rPr>
        <w:t xml:space="preserve">в Устав городского округа Верх-Нейвинский </w:t>
      </w:r>
    </w:p>
    <w:p w:rsidR="00946D32" w:rsidRPr="009865A9" w:rsidRDefault="00946D32" w:rsidP="00946D32">
      <w:pPr>
        <w:jc w:val="center"/>
        <w:outlineLvl w:val="0"/>
        <w:rPr>
          <w:b/>
          <w:i/>
          <w:sz w:val="20"/>
          <w:szCs w:val="28"/>
        </w:rPr>
      </w:pPr>
    </w:p>
    <w:p w:rsidR="00946D32" w:rsidRPr="00B81F3A" w:rsidRDefault="00946D32" w:rsidP="00B81F3A">
      <w:pPr>
        <w:ind w:firstLine="708"/>
        <w:jc w:val="both"/>
        <w:rPr>
          <w:sz w:val="28"/>
          <w:szCs w:val="28"/>
        </w:rPr>
      </w:pPr>
      <w:proofErr w:type="gramStart"/>
      <w:r w:rsidRPr="0085665A">
        <w:rPr>
          <w:sz w:val="28"/>
          <w:szCs w:val="28"/>
        </w:rPr>
        <w:t>В</w:t>
      </w:r>
      <w:r w:rsidR="00F432FC" w:rsidRPr="0085665A">
        <w:rPr>
          <w:sz w:val="28"/>
          <w:szCs w:val="28"/>
        </w:rPr>
        <w:t xml:space="preserve"> соответствии </w:t>
      </w:r>
      <w:r w:rsidR="00CC1A89" w:rsidRPr="0085665A">
        <w:rPr>
          <w:sz w:val="28"/>
          <w:szCs w:val="28"/>
        </w:rPr>
        <w:t xml:space="preserve">с Федеральными законами от 06.10.2003 №131-ФЗ «Об общих принципах организации местного самоуправления в Российской Федерации», </w:t>
      </w:r>
      <w:r w:rsidR="00F432FC" w:rsidRPr="0085665A">
        <w:rPr>
          <w:sz w:val="28"/>
          <w:szCs w:val="28"/>
        </w:rPr>
        <w:t xml:space="preserve">от </w:t>
      </w:r>
      <w:r w:rsidR="00CC1A89" w:rsidRPr="0085665A">
        <w:rPr>
          <w:sz w:val="28"/>
          <w:szCs w:val="28"/>
        </w:rPr>
        <w:t>05.05.2014 №131-ФЗ «О внесении изменений в Градостроительный кодекс Российской Федерации», от 04.10.2014 №283-ФЗ «О внесении изменений в Бюджетный кодекс 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</w:t>
      </w:r>
      <w:proofErr w:type="gramEnd"/>
      <w:r w:rsidR="00CC1A89" w:rsidRPr="0085665A">
        <w:rPr>
          <w:sz w:val="28"/>
          <w:szCs w:val="28"/>
        </w:rPr>
        <w:t xml:space="preserve"> (</w:t>
      </w:r>
      <w:proofErr w:type="gramStart"/>
      <w:r w:rsidR="00CC1A89" w:rsidRPr="0085665A">
        <w:rPr>
          <w:sz w:val="28"/>
          <w:szCs w:val="28"/>
        </w:rPr>
        <w:t>муниципальных) учреждений», от 14.01.2014 №307-ФЗ «О внесении изменений в Кодекс Российской Федерации об административных правонарушениях и отдельные законодательные акты Р</w:t>
      </w:r>
      <w:r w:rsidR="0085665A" w:rsidRPr="0085665A">
        <w:rPr>
          <w:sz w:val="28"/>
          <w:szCs w:val="28"/>
        </w:rPr>
        <w:t xml:space="preserve">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от 25.12.2008 №273-ФЗ «О противодействии коррупции», </w:t>
      </w:r>
      <w:r w:rsidR="002F4C54">
        <w:rPr>
          <w:sz w:val="28"/>
          <w:szCs w:val="28"/>
        </w:rPr>
        <w:t>от 02.04.2014 №70-ФЗ</w:t>
      </w:r>
      <w:proofErr w:type="gramEnd"/>
      <w:r w:rsidR="002F4C54">
        <w:rPr>
          <w:sz w:val="28"/>
          <w:szCs w:val="28"/>
        </w:rPr>
        <w:t xml:space="preserve"> «</w:t>
      </w:r>
      <w:proofErr w:type="gramStart"/>
      <w:r w:rsidR="002F4C54">
        <w:rPr>
          <w:sz w:val="28"/>
          <w:szCs w:val="28"/>
        </w:rPr>
        <w:t xml:space="preserve">О внесении изменений в отдельные законодательные акты Российской Федерации по вопросам участия граждан в охране общественного порядка», </w:t>
      </w:r>
      <w:r w:rsidR="00671AC8">
        <w:rPr>
          <w:sz w:val="28"/>
          <w:szCs w:val="28"/>
        </w:rPr>
        <w:t>от 22.12.2014 №431-ФЗ «О внесении изменений в отдельные законодательные акты Российской Федерации по вопросам противодействия коррупции», от 22.12.2014 №447-ФЗ «О внесении изменений в Федеральный закон «О государственном кадастре недвижимости» и отдельные законодательные акты Российской Федерации», от 29.12.2014 №458-ФЗ «О внесении изменений в Федеральный</w:t>
      </w:r>
      <w:proofErr w:type="gramEnd"/>
      <w:r w:rsidR="00671AC8">
        <w:rPr>
          <w:sz w:val="28"/>
          <w:szCs w:val="28"/>
        </w:rPr>
        <w:t xml:space="preserve"> </w:t>
      </w:r>
      <w:proofErr w:type="gramStart"/>
      <w:r w:rsidR="00671AC8">
        <w:rPr>
          <w:sz w:val="28"/>
          <w:szCs w:val="28"/>
        </w:rPr>
        <w:t>закон «Об отходах производства и потребления», отдельные законодательные акты Российской Федерации</w:t>
      </w:r>
      <w:r w:rsidR="00156171">
        <w:rPr>
          <w:sz w:val="28"/>
          <w:szCs w:val="28"/>
        </w:rPr>
        <w:t xml:space="preserve"> и признании утратившими силу отдельных законодательных актов (положений законодательных актов) Российской Федерации», от</w:t>
      </w:r>
      <w:r w:rsidR="0012279D">
        <w:rPr>
          <w:sz w:val="28"/>
          <w:szCs w:val="28"/>
        </w:rPr>
        <w:t xml:space="preserve"> 31.12.2014 №499-ФЗ «О внесении изменений</w:t>
      </w:r>
      <w:r w:rsidR="009E4B31">
        <w:rPr>
          <w:sz w:val="28"/>
          <w:szCs w:val="28"/>
        </w:rPr>
        <w:t xml:space="preserve"> в Земельный кодекс Российской Федерации и отдельные законодательные акты Российской Федерации», от 03.02.2015 </w:t>
      </w:r>
      <w:r w:rsidR="0012279D">
        <w:rPr>
          <w:sz w:val="28"/>
          <w:szCs w:val="28"/>
        </w:rPr>
        <w:t>№8-ФЗ «О внесении изменений в статьи 32 и 33 Федерального закона «Об основных гарантиях избирательных прав и права</w:t>
      </w:r>
      <w:proofErr w:type="gramEnd"/>
      <w:r w:rsidR="0012279D">
        <w:rPr>
          <w:sz w:val="28"/>
          <w:szCs w:val="28"/>
        </w:rPr>
        <w:t xml:space="preserve"> на участие в референдуме граждан Российской Федерации»  и Федеральный закон «Об общих принципах организации местного </w:t>
      </w:r>
      <w:r w:rsidR="0012279D">
        <w:rPr>
          <w:sz w:val="28"/>
          <w:szCs w:val="28"/>
        </w:rPr>
        <w:lastRenderedPageBreak/>
        <w:t>самоуправления в Российской Федерации</w:t>
      </w:r>
      <w:r w:rsidR="0012279D" w:rsidRPr="00B81F3A">
        <w:rPr>
          <w:sz w:val="28"/>
          <w:szCs w:val="28"/>
        </w:rPr>
        <w:t>»</w:t>
      </w:r>
      <w:r w:rsidR="00B81F3A" w:rsidRPr="00B81F3A">
        <w:rPr>
          <w:sz w:val="28"/>
          <w:szCs w:val="28"/>
        </w:rPr>
        <w:t xml:space="preserve">, </w:t>
      </w:r>
      <w:r w:rsidRPr="00B81F3A">
        <w:rPr>
          <w:sz w:val="28"/>
          <w:szCs w:val="28"/>
        </w:rPr>
        <w:t>на основании Устава городского округа Верх-Нейвинский,</w:t>
      </w:r>
    </w:p>
    <w:p w:rsidR="00946D32" w:rsidRPr="00B81F3A" w:rsidRDefault="00946D32" w:rsidP="00946D32">
      <w:pPr>
        <w:jc w:val="both"/>
        <w:rPr>
          <w:sz w:val="28"/>
          <w:szCs w:val="28"/>
        </w:rPr>
      </w:pPr>
      <w:r w:rsidRPr="00B81F3A">
        <w:rPr>
          <w:b/>
          <w:bCs/>
          <w:sz w:val="28"/>
          <w:szCs w:val="28"/>
        </w:rPr>
        <w:t xml:space="preserve">    </w:t>
      </w:r>
      <w:r w:rsidRPr="00B81F3A">
        <w:rPr>
          <w:sz w:val="28"/>
          <w:szCs w:val="28"/>
        </w:rPr>
        <w:t>Дума городского округа Верх-Нейвинский</w:t>
      </w: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jc w:val="both"/>
        <w:rPr>
          <w:b/>
          <w:bCs/>
          <w:color w:val="000000"/>
          <w:sz w:val="28"/>
          <w:szCs w:val="28"/>
        </w:rPr>
      </w:pPr>
      <w:r w:rsidRPr="00B81F3A">
        <w:rPr>
          <w:b/>
          <w:bCs/>
          <w:color w:val="000000"/>
          <w:sz w:val="28"/>
          <w:szCs w:val="28"/>
        </w:rPr>
        <w:t>РЕШИЛА:</w:t>
      </w:r>
    </w:p>
    <w:p w:rsidR="001A026A" w:rsidRPr="00B81F3A" w:rsidRDefault="001A026A" w:rsidP="00946D32">
      <w:pPr>
        <w:jc w:val="both"/>
        <w:rPr>
          <w:bCs/>
          <w:color w:val="000000"/>
          <w:sz w:val="20"/>
          <w:szCs w:val="28"/>
        </w:rPr>
      </w:pPr>
    </w:p>
    <w:p w:rsidR="001A026A" w:rsidRPr="00B81F3A" w:rsidRDefault="00946D32" w:rsidP="001A026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Утвердить проект решения Думы городского округа Верх-Нейвинский о внесении изменений в Устав городского округа Верх-Нейвинский (приложение № 1).</w:t>
      </w:r>
    </w:p>
    <w:p w:rsidR="001A026A" w:rsidRPr="00B81F3A" w:rsidRDefault="001A026A" w:rsidP="001A026A">
      <w:pPr>
        <w:ind w:left="357"/>
        <w:jc w:val="both"/>
        <w:rPr>
          <w:sz w:val="28"/>
          <w:szCs w:val="28"/>
        </w:rPr>
      </w:pPr>
    </w:p>
    <w:p w:rsidR="00946D32" w:rsidRPr="00B81F3A" w:rsidRDefault="00B81F3A" w:rsidP="001A026A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31</w:t>
      </w:r>
      <w:r w:rsidR="00946D32" w:rsidRPr="00B81F3A">
        <w:rPr>
          <w:sz w:val="28"/>
          <w:szCs w:val="28"/>
        </w:rPr>
        <w:t xml:space="preserve"> </w:t>
      </w:r>
      <w:r w:rsidRPr="00B81F3A">
        <w:rPr>
          <w:sz w:val="28"/>
          <w:szCs w:val="28"/>
        </w:rPr>
        <w:t>марта</w:t>
      </w:r>
      <w:r w:rsidR="00946D32" w:rsidRPr="00B81F3A">
        <w:rPr>
          <w:sz w:val="28"/>
          <w:szCs w:val="28"/>
        </w:rPr>
        <w:t xml:space="preserve"> 201</w:t>
      </w:r>
      <w:r w:rsidRPr="00B81F3A">
        <w:rPr>
          <w:sz w:val="28"/>
          <w:szCs w:val="28"/>
        </w:rPr>
        <w:t>5</w:t>
      </w:r>
      <w:r w:rsidR="00946D32" w:rsidRPr="00B81F3A">
        <w:rPr>
          <w:sz w:val="28"/>
          <w:szCs w:val="28"/>
        </w:rPr>
        <w:t xml:space="preserve"> года организовать и провести публичные слушания по проекту внесения изменений в Устав городского округа Верх-Нейвинский в форме открытого заседания Думы городского округа.</w:t>
      </w:r>
    </w:p>
    <w:p w:rsidR="001A026A" w:rsidRPr="00B81F3A" w:rsidRDefault="001A026A" w:rsidP="001A026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Предложения по изменениям в Устав городского округа Верх-Нейвинский направля</w:t>
      </w:r>
      <w:r w:rsidR="00B81F3A" w:rsidRPr="00B81F3A">
        <w:rPr>
          <w:sz w:val="28"/>
          <w:szCs w:val="28"/>
        </w:rPr>
        <w:t>ть в Думу городского округа до 16</w:t>
      </w:r>
      <w:r w:rsidRPr="00B81F3A">
        <w:rPr>
          <w:sz w:val="28"/>
          <w:szCs w:val="28"/>
        </w:rPr>
        <w:t xml:space="preserve"> </w:t>
      </w:r>
      <w:r w:rsidR="00B81F3A" w:rsidRPr="00B81F3A">
        <w:rPr>
          <w:sz w:val="28"/>
          <w:szCs w:val="28"/>
        </w:rPr>
        <w:t>марта</w:t>
      </w:r>
      <w:r w:rsidRPr="00B81F3A">
        <w:rPr>
          <w:sz w:val="28"/>
          <w:szCs w:val="28"/>
        </w:rPr>
        <w:t xml:space="preserve"> 201</w:t>
      </w:r>
      <w:r w:rsidR="00B81F3A" w:rsidRPr="00B81F3A">
        <w:rPr>
          <w:sz w:val="28"/>
          <w:szCs w:val="28"/>
        </w:rPr>
        <w:t>5</w:t>
      </w:r>
      <w:r w:rsidRPr="00B81F3A">
        <w:rPr>
          <w:sz w:val="28"/>
          <w:szCs w:val="28"/>
        </w:rPr>
        <w:t xml:space="preserve"> года.</w:t>
      </w:r>
    </w:p>
    <w:p w:rsidR="001A026A" w:rsidRPr="00B81F3A" w:rsidRDefault="001A026A" w:rsidP="001A026A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>Настоящее решение опубликовать в газете «Верх-Нейвинский вестник» не позднее, чем за 30 дней до дня рассмотрения Думой городского округа Верх-Нейвинский вопроса о внесении в Устав городского округа Верх-Нейвинский изменений, указанных в пункте 1 настоящего решения.</w:t>
      </w:r>
    </w:p>
    <w:p w:rsidR="001A026A" w:rsidRPr="00B81F3A" w:rsidRDefault="001A026A" w:rsidP="001A026A">
      <w:pPr>
        <w:jc w:val="both"/>
        <w:rPr>
          <w:sz w:val="28"/>
          <w:szCs w:val="28"/>
        </w:rPr>
      </w:pPr>
    </w:p>
    <w:p w:rsidR="00946D32" w:rsidRPr="00B81F3A" w:rsidRDefault="00946D32" w:rsidP="00946D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1F3A">
        <w:rPr>
          <w:sz w:val="28"/>
          <w:szCs w:val="28"/>
        </w:rPr>
        <w:t xml:space="preserve">Контроль по исполнению настоящего решения возложить на постоянную комиссию по законодательству, бюджету и финансовым вопросам (председатель – Бобошин В.И.) </w:t>
      </w:r>
    </w:p>
    <w:p w:rsidR="00946D32" w:rsidRPr="00B81F3A" w:rsidRDefault="00946D32" w:rsidP="00946D32">
      <w:pPr>
        <w:jc w:val="both"/>
        <w:rPr>
          <w:sz w:val="28"/>
          <w:szCs w:val="28"/>
        </w:rPr>
      </w:pP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1A026A" w:rsidRPr="00B81F3A" w:rsidRDefault="001A026A" w:rsidP="00946D32">
      <w:pPr>
        <w:jc w:val="both"/>
        <w:rPr>
          <w:sz w:val="28"/>
          <w:szCs w:val="28"/>
        </w:rPr>
      </w:pPr>
    </w:p>
    <w:p w:rsidR="00946D32" w:rsidRPr="00972729" w:rsidRDefault="00946D32" w:rsidP="00946D32">
      <w:pPr>
        <w:jc w:val="both"/>
        <w:rPr>
          <w:sz w:val="28"/>
          <w:szCs w:val="28"/>
        </w:rPr>
      </w:pPr>
      <w:r w:rsidRPr="00B81F3A">
        <w:rPr>
          <w:sz w:val="28"/>
          <w:szCs w:val="28"/>
        </w:rPr>
        <w:t xml:space="preserve">Глава городского округа </w:t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</w:r>
      <w:r w:rsidRPr="00B81F3A">
        <w:rPr>
          <w:sz w:val="28"/>
          <w:szCs w:val="28"/>
        </w:rPr>
        <w:tab/>
        <w:t xml:space="preserve">  Е.С. </w:t>
      </w:r>
      <w:proofErr w:type="gramStart"/>
      <w:r w:rsidRPr="00B81F3A">
        <w:rPr>
          <w:sz w:val="28"/>
          <w:szCs w:val="28"/>
        </w:rPr>
        <w:t>Плохих</w:t>
      </w:r>
      <w:proofErr w:type="gramEnd"/>
    </w:p>
    <w:p w:rsidR="001A026A" w:rsidRDefault="001A026A">
      <w:pPr>
        <w:spacing w:after="200" w:line="276" w:lineRule="auto"/>
      </w:pPr>
      <w:r>
        <w:br w:type="page"/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lastRenderedPageBreak/>
        <w:t>Приложение № 1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к решению Думы </w:t>
      </w:r>
      <w:proofErr w:type="gramStart"/>
      <w:r w:rsidRPr="00B96F5F">
        <w:t>городского</w:t>
      </w:r>
      <w:proofErr w:type="gramEnd"/>
      <w:r w:rsidRPr="00B96F5F">
        <w:t xml:space="preserve">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 w:rsidRPr="00B96F5F">
        <w:t xml:space="preserve">округа Верх-Нейвинский </w:t>
      </w:r>
    </w:p>
    <w:p w:rsidR="00946D32" w:rsidRPr="00B96F5F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right"/>
      </w:pPr>
      <w:r>
        <w:t xml:space="preserve">от </w:t>
      </w:r>
      <w:r w:rsidR="00A76886">
        <w:t>2</w:t>
      </w:r>
      <w:r w:rsidR="00B81F3A">
        <w:t>4</w:t>
      </w:r>
      <w:r>
        <w:t>.0</w:t>
      </w:r>
      <w:r w:rsidR="00B81F3A">
        <w:t>2</w:t>
      </w:r>
      <w:r>
        <w:t>.201</w:t>
      </w:r>
      <w:r w:rsidR="00B81F3A">
        <w:t>5</w:t>
      </w:r>
      <w:r>
        <w:t xml:space="preserve"> </w:t>
      </w:r>
      <w:r w:rsidRPr="00B96F5F">
        <w:t>г</w:t>
      </w:r>
      <w:r>
        <w:t xml:space="preserve">.  № </w:t>
      </w:r>
    </w:p>
    <w:p w:rsidR="00477762" w:rsidRDefault="0047776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</w:p>
    <w:p w:rsidR="00477762" w:rsidRDefault="0047776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</w:p>
    <w:p w:rsidR="00946D32" w:rsidRPr="00DA17FA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Проект изменений</w:t>
      </w:r>
    </w:p>
    <w:p w:rsidR="00946D32" w:rsidRDefault="00946D32" w:rsidP="00946D32">
      <w:pPr>
        <w:shd w:val="clear" w:color="auto" w:fill="FFFFFF"/>
        <w:tabs>
          <w:tab w:val="left" w:pos="900"/>
          <w:tab w:val="left" w:pos="1080"/>
        </w:tabs>
        <w:ind w:left="360"/>
        <w:jc w:val="center"/>
        <w:rPr>
          <w:b/>
          <w:sz w:val="28"/>
          <w:szCs w:val="28"/>
        </w:rPr>
      </w:pPr>
      <w:r w:rsidRPr="00DA17FA">
        <w:rPr>
          <w:b/>
          <w:sz w:val="28"/>
          <w:szCs w:val="28"/>
        </w:rPr>
        <w:t>в Устав городского округа Верх-Нейвинский</w:t>
      </w:r>
    </w:p>
    <w:p w:rsidR="00946D32" w:rsidRDefault="00946D32" w:rsidP="00946D32">
      <w:pPr>
        <w:pStyle w:val="a3"/>
        <w:ind w:firstLine="710"/>
        <w:rPr>
          <w:sz w:val="28"/>
          <w:szCs w:val="28"/>
        </w:rPr>
      </w:pPr>
    </w:p>
    <w:p w:rsidR="00477762" w:rsidRDefault="00477762" w:rsidP="00946D32">
      <w:pPr>
        <w:pStyle w:val="a3"/>
        <w:ind w:firstLine="710"/>
        <w:rPr>
          <w:sz w:val="28"/>
          <w:szCs w:val="28"/>
        </w:rPr>
      </w:pPr>
    </w:p>
    <w:p w:rsidR="00893E78" w:rsidRDefault="00893E78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9 части 1 статьи 6 изложить в следующей редакции:</w:t>
      </w:r>
    </w:p>
    <w:p w:rsidR="006A0F09" w:rsidRDefault="00893E78" w:rsidP="006A0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«9)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</w:t>
      </w:r>
      <w:r>
        <w:rPr>
          <w:rFonts w:eastAsiaTheme="minorHAnsi"/>
          <w:sz w:val="28"/>
          <w:szCs w:val="28"/>
          <w:lang w:eastAsia="en-US"/>
        </w:rPr>
        <w:t>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нарушений»;</w:t>
      </w:r>
      <w:proofErr w:type="gramEnd"/>
    </w:p>
    <w:p w:rsidR="00477762" w:rsidRPr="00893E78" w:rsidRDefault="00477762" w:rsidP="006A0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A0F09" w:rsidRDefault="006A0F09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12 части 1 статьи 6 изложить в следующей редакции:</w:t>
      </w:r>
    </w:p>
    <w:p w:rsidR="006A0F09" w:rsidRDefault="006A0F09" w:rsidP="004777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«12)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отходов»;</w:t>
      </w:r>
    </w:p>
    <w:p w:rsidR="00477762" w:rsidRDefault="00477762" w:rsidP="006A0F09">
      <w:pPr>
        <w:pStyle w:val="a3"/>
        <w:rPr>
          <w:sz w:val="28"/>
          <w:szCs w:val="28"/>
        </w:rPr>
      </w:pPr>
    </w:p>
    <w:p w:rsidR="006A0F09" w:rsidRDefault="006A0F09" w:rsidP="006A0F0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41 части 1 статьи 6 признать утратившим силу;</w:t>
      </w:r>
    </w:p>
    <w:p w:rsidR="00477762" w:rsidRDefault="00477762" w:rsidP="00477762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6A0F09" w:rsidRDefault="006A0F09" w:rsidP="006A0F0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часть 1 статьи 6 дополнить пунктом 46 следующего содержания:</w:t>
      </w:r>
    </w:p>
    <w:p w:rsidR="0031065F" w:rsidRDefault="006A0F09" w:rsidP="00477762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«46) организация в соответствии с Федеральным законом от 24 июля 2007 года №221-ФЗ «О государственном кадастре недвижимости» выполнения комплексных кадастровых  работ и утверждение карты-плана территории»;</w:t>
      </w:r>
    </w:p>
    <w:p w:rsidR="00477762" w:rsidRPr="0031065F" w:rsidRDefault="00477762" w:rsidP="0031065F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часть 3 статьи 17 изложить в следующей редакции:</w:t>
      </w:r>
    </w:p>
    <w:p w:rsidR="00477762" w:rsidRDefault="00477762" w:rsidP="004777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«3. Порядок назначения и проведения опроса граждан определяется Думой городского округа в соответствии с законом Свердловской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7 части 3 статьи 21 дополнить положением следующего содержания: «утверждение местных нормативов градостроительного проектирования»;</w:t>
      </w:r>
    </w:p>
    <w:p w:rsidR="00477762" w:rsidRDefault="00477762" w:rsidP="00477762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1 части 10 статьи 22 признать утратившим силу;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2 части 10 статьи 22 изложить в следующей редакции:</w:t>
      </w:r>
    </w:p>
    <w:p w:rsidR="00477762" w:rsidRDefault="00477762" w:rsidP="00477762">
      <w:pPr>
        <w:pStyle w:val="a3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</w:t>
      </w:r>
      <w:proofErr w:type="gramEnd"/>
      <w:r>
        <w:rPr>
          <w:sz w:val="28"/>
          <w:szCs w:val="28"/>
        </w:rPr>
        <w:t xml:space="preserve"> не поручено участвовать в управлении этой организацией»;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1 части 14 статьи 25 признать утратившим силу;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2 части 14 статьи 25 изложить в следующей редакции:</w:t>
      </w:r>
    </w:p>
    <w:p w:rsidR="00477762" w:rsidRDefault="00477762" w:rsidP="00477762">
      <w:pPr>
        <w:pStyle w:val="a3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</w:t>
      </w:r>
      <w:proofErr w:type="gramEnd"/>
      <w:r>
        <w:rPr>
          <w:sz w:val="28"/>
          <w:szCs w:val="28"/>
        </w:rPr>
        <w:t xml:space="preserve"> не поручено участвовать в управлении этой организацией»;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24 статьи 28 изложить в следующей редакции:</w:t>
      </w:r>
    </w:p>
    <w:p w:rsidR="00477762" w:rsidRDefault="00477762" w:rsidP="004777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«24)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отходов»;</w:t>
      </w:r>
    </w:p>
    <w:p w:rsidR="00477762" w:rsidRDefault="00477762" w:rsidP="00477762">
      <w:pPr>
        <w:pStyle w:val="a3"/>
        <w:rPr>
          <w:sz w:val="28"/>
          <w:szCs w:val="28"/>
        </w:rPr>
      </w:pPr>
    </w:p>
    <w:p w:rsidR="0031065F" w:rsidRDefault="0031065F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пункт 38 статьи 28 изложить в следующей редакции:</w:t>
      </w:r>
    </w:p>
    <w:p w:rsidR="0031065F" w:rsidRDefault="0031065F" w:rsidP="003106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«38) </w:t>
      </w:r>
      <w:r>
        <w:rPr>
          <w:rFonts w:eastAsiaTheme="minorHAnsi"/>
          <w:sz w:val="28"/>
          <w:szCs w:val="28"/>
          <w:lang w:eastAsia="en-US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дружин»;</w:t>
      </w:r>
    </w:p>
    <w:p w:rsidR="00477762" w:rsidRDefault="00477762" w:rsidP="006A0F09">
      <w:pPr>
        <w:pStyle w:val="a3"/>
        <w:rPr>
          <w:sz w:val="28"/>
          <w:szCs w:val="28"/>
        </w:rPr>
      </w:pPr>
    </w:p>
    <w:p w:rsidR="00477762" w:rsidRDefault="00477762" w:rsidP="0047776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пункта 42 статьи 28 исключить положение «утверждает местные нормативы градостроительного проектирования городского округа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477762" w:rsidRDefault="00477762" w:rsidP="00477762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6A0F09" w:rsidRDefault="006A0F09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статью 28 дополнить пунктом 54 следующего содержания:</w:t>
      </w:r>
    </w:p>
    <w:p w:rsidR="006A0F09" w:rsidRDefault="006A0F09" w:rsidP="00477762">
      <w:pPr>
        <w:pStyle w:val="a6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«54) </w:t>
      </w:r>
      <w:r>
        <w:rPr>
          <w:rFonts w:eastAsiaTheme="minorHAnsi"/>
          <w:sz w:val="28"/>
          <w:szCs w:val="28"/>
          <w:lang w:eastAsia="en-US"/>
        </w:rPr>
        <w:t>организация в соответствии с Федеральным законом от 24 июля 2007 года №221-ФЗ «О государственном кадастре недвижимости» выполнения комплексных кадастровых  работ и утверждение карты-плана территории»;</w:t>
      </w:r>
    </w:p>
    <w:p w:rsidR="00477762" w:rsidRDefault="00477762" w:rsidP="006A0F09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477762" w:rsidRDefault="00477762" w:rsidP="0047776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часть 2 статьи 48 изложить в следующей редакции:</w:t>
      </w:r>
    </w:p>
    <w:p w:rsidR="00477762" w:rsidRDefault="00477762" w:rsidP="00477762">
      <w:pPr>
        <w:pStyle w:val="a6"/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«Составление проекта бюджета основывается </w:t>
      </w:r>
      <w:proofErr w:type="gramStart"/>
      <w:r>
        <w:rPr>
          <w:rFonts w:eastAsiaTheme="minorHAnsi"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положениях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основных </w:t>
      </w:r>
      <w:proofErr w:type="gramStart"/>
      <w:r>
        <w:rPr>
          <w:rFonts w:eastAsiaTheme="minorHAnsi"/>
          <w:sz w:val="28"/>
          <w:szCs w:val="28"/>
          <w:lang w:eastAsia="en-US"/>
        </w:rPr>
        <w:t>направлениях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бюджетной политики и основных направлениях налоговой политики;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основных направлениях таможенно-тарифной политики Российской Федерации;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развития;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бюджетном </w:t>
      </w:r>
      <w:proofErr w:type="gramStart"/>
      <w:r>
        <w:rPr>
          <w:rFonts w:eastAsiaTheme="minorHAnsi"/>
          <w:sz w:val="28"/>
          <w:szCs w:val="28"/>
          <w:lang w:eastAsia="en-US"/>
        </w:rPr>
        <w:t>прогнозе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(проекте бюджетного прогноза, проекте изменений бюджетного прогноза) на долгосрочный период;</w:t>
      </w:r>
    </w:p>
    <w:p w:rsidR="00477762" w:rsidRDefault="00477762" w:rsidP="0047776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программах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(проектах муниципальных программ, проектах изменений указанных программ).»;</w:t>
      </w:r>
    </w:p>
    <w:p w:rsidR="00477762" w:rsidRDefault="00477762" w:rsidP="00477762">
      <w:pPr>
        <w:pStyle w:val="a6"/>
        <w:autoSpaceDE w:val="0"/>
        <w:autoSpaceDN w:val="0"/>
        <w:adjustRightInd w:val="0"/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946D32" w:rsidRDefault="00A76886" w:rsidP="00CE497B">
      <w:pPr>
        <w:pStyle w:val="a3"/>
        <w:numPr>
          <w:ilvl w:val="0"/>
          <w:numId w:val="1"/>
        </w:numPr>
        <w:tabs>
          <w:tab w:val="clear" w:pos="502"/>
          <w:tab w:val="num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статью</w:t>
      </w:r>
      <w:r w:rsidR="00946D32">
        <w:rPr>
          <w:sz w:val="28"/>
          <w:szCs w:val="28"/>
        </w:rPr>
        <w:t xml:space="preserve"> </w:t>
      </w:r>
      <w:r w:rsidR="00B81F3A">
        <w:rPr>
          <w:sz w:val="28"/>
          <w:szCs w:val="28"/>
        </w:rPr>
        <w:t>55</w:t>
      </w:r>
      <w:r>
        <w:rPr>
          <w:sz w:val="28"/>
          <w:szCs w:val="28"/>
        </w:rPr>
        <w:t xml:space="preserve"> дополнить</w:t>
      </w:r>
      <w:r w:rsidR="00B81F3A">
        <w:rPr>
          <w:sz w:val="28"/>
          <w:szCs w:val="28"/>
        </w:rPr>
        <w:t xml:space="preserve"> абзацем следующего содержания</w:t>
      </w:r>
      <w:r w:rsidR="00946D32">
        <w:rPr>
          <w:sz w:val="28"/>
          <w:szCs w:val="28"/>
        </w:rPr>
        <w:t>:</w:t>
      </w:r>
    </w:p>
    <w:p w:rsidR="00B81F3A" w:rsidRDefault="00946D32" w:rsidP="00477762">
      <w:pPr>
        <w:autoSpaceDE w:val="0"/>
        <w:autoSpaceDN w:val="0"/>
        <w:adjustRightInd w:val="0"/>
        <w:ind w:firstLine="567"/>
        <w:jc w:val="both"/>
        <w:rPr>
          <w:sz w:val="28"/>
        </w:rPr>
      </w:pPr>
      <w:proofErr w:type="gramStart"/>
      <w:r w:rsidRPr="00CA735E">
        <w:rPr>
          <w:sz w:val="28"/>
        </w:rPr>
        <w:t>«</w:t>
      </w:r>
      <w:r w:rsidR="00B81F3A">
        <w:rPr>
          <w:sz w:val="28"/>
        </w:rPr>
        <w:t>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вопросов, в том числе основания и процедура отзыва населением выборных должностных лиц местного самоуправления, досрочного прекращения полномочий выборных органов местного самоуправления и выборных должностных лиц местного самоуправления устанавливаются решением Думы городского округа Верх-Нейвинский.»</w:t>
      </w:r>
      <w:r w:rsidR="00477762">
        <w:rPr>
          <w:sz w:val="28"/>
        </w:rPr>
        <w:t>.</w:t>
      </w:r>
      <w:proofErr w:type="gramEnd"/>
    </w:p>
    <w:sectPr w:rsidR="00B81F3A" w:rsidSect="001A026A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54B8"/>
    <w:multiLevelType w:val="hybridMultilevel"/>
    <w:tmpl w:val="DCFC5B60"/>
    <w:lvl w:ilvl="0" w:tplc="35683EC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CA44B2B"/>
    <w:multiLevelType w:val="hybridMultilevel"/>
    <w:tmpl w:val="ECA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87362D"/>
    <w:multiLevelType w:val="hybridMultilevel"/>
    <w:tmpl w:val="5FCC7396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32"/>
    <w:rsid w:val="000D2DCB"/>
    <w:rsid w:val="00114152"/>
    <w:rsid w:val="0012279D"/>
    <w:rsid w:val="00156171"/>
    <w:rsid w:val="001A026A"/>
    <w:rsid w:val="002F4C54"/>
    <w:rsid w:val="0031065F"/>
    <w:rsid w:val="003859BE"/>
    <w:rsid w:val="00477762"/>
    <w:rsid w:val="00613D3B"/>
    <w:rsid w:val="00671AC8"/>
    <w:rsid w:val="006A0F09"/>
    <w:rsid w:val="0085665A"/>
    <w:rsid w:val="00893E78"/>
    <w:rsid w:val="00946D32"/>
    <w:rsid w:val="009E4B31"/>
    <w:rsid w:val="00A76886"/>
    <w:rsid w:val="00B81F3A"/>
    <w:rsid w:val="00C87C88"/>
    <w:rsid w:val="00CC1A89"/>
    <w:rsid w:val="00CE3932"/>
    <w:rsid w:val="00CE497B"/>
    <w:rsid w:val="00D45200"/>
    <w:rsid w:val="00D55053"/>
    <w:rsid w:val="00E00791"/>
    <w:rsid w:val="00E31D16"/>
    <w:rsid w:val="00F4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6D3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4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46D3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A0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A908A-00C8-4C0F-9C62-B7B1806E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2014-05-21T04:59:00Z</cp:lastPrinted>
  <dcterms:created xsi:type="dcterms:W3CDTF">2014-05-21T04:36:00Z</dcterms:created>
  <dcterms:modified xsi:type="dcterms:W3CDTF">2015-02-18T09:24:00Z</dcterms:modified>
</cp:coreProperties>
</file>